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jc w:val="center"/>
        <w:tblLook w:val="04A0" w:firstRow="1" w:lastRow="0" w:firstColumn="1" w:lastColumn="0" w:noHBand="0" w:noVBand="1"/>
      </w:tblPr>
      <w:tblGrid>
        <w:gridCol w:w="1806"/>
        <w:gridCol w:w="1134"/>
        <w:gridCol w:w="2001"/>
        <w:gridCol w:w="5350"/>
        <w:gridCol w:w="3703"/>
      </w:tblGrid>
      <w:tr w:rsidR="00AB1FD5" w:rsidRPr="00644D4C" w14:paraId="56E089F6" w14:textId="77777777" w:rsidTr="00F2101A">
        <w:trPr>
          <w:trHeight w:val="1417"/>
          <w:jc w:val="center"/>
        </w:trPr>
        <w:tc>
          <w:tcPr>
            <w:tcW w:w="13994" w:type="dxa"/>
            <w:gridSpan w:val="5"/>
            <w:shd w:val="clear" w:color="auto" w:fill="A6A6A6" w:themeFill="background1" w:themeFillShade="A6"/>
            <w:vAlign w:val="center"/>
          </w:tcPr>
          <w:p w14:paraId="6C38629A" w14:textId="77777777" w:rsidR="00AB1FD5" w:rsidRPr="00644D4C" w:rsidRDefault="00AB1FD5" w:rsidP="0065408E">
            <w:pPr>
              <w:spacing w:line="360" w:lineRule="auto"/>
              <w:jc w:val="center"/>
              <w:rPr>
                <w:rFonts w:cstheme="minorHAnsi"/>
                <w:b/>
                <w:sz w:val="20"/>
                <w:szCs w:val="20"/>
                <w:lang w:eastAsia="pl-PL"/>
              </w:rPr>
            </w:pPr>
            <w:r w:rsidRPr="00644D4C">
              <w:rPr>
                <w:rFonts w:cstheme="minorHAnsi"/>
                <w:b/>
                <w:sz w:val="20"/>
                <w:szCs w:val="20"/>
                <w:lang w:eastAsia="pl-PL"/>
              </w:rPr>
              <w:t>Protokół rozbieżności stanowisk</w:t>
            </w:r>
          </w:p>
          <w:p w14:paraId="780AAAFE" w14:textId="4BF94AE7" w:rsidR="00AB1FD5" w:rsidRPr="00644D4C" w:rsidRDefault="00AB1FD5" w:rsidP="0065408E">
            <w:pPr>
              <w:spacing w:line="360" w:lineRule="auto"/>
              <w:jc w:val="center"/>
              <w:rPr>
                <w:rFonts w:cstheme="minorHAnsi"/>
                <w:b/>
                <w:bCs/>
                <w:sz w:val="20"/>
                <w:szCs w:val="20"/>
                <w:lang w:eastAsia="pl-PL"/>
              </w:rPr>
            </w:pPr>
            <w:r w:rsidRPr="00644D4C">
              <w:rPr>
                <w:rFonts w:cstheme="minorHAnsi"/>
                <w:b/>
                <w:sz w:val="20"/>
                <w:szCs w:val="20"/>
                <w:lang w:eastAsia="pl-PL"/>
              </w:rPr>
              <w:t xml:space="preserve">z etapu uzgodnień projektu ustawy o zmianie ustawy </w:t>
            </w:r>
            <w:r w:rsidRPr="00644D4C">
              <w:rPr>
                <w:rFonts w:cstheme="minorHAnsi"/>
                <w:b/>
                <w:bCs/>
                <w:sz w:val="20"/>
                <w:szCs w:val="20"/>
                <w:lang w:eastAsia="pl-PL"/>
              </w:rPr>
              <w:t>o nieodpłatnej pomocy prawnej, nieodpłatnym poradnictwie</w:t>
            </w:r>
          </w:p>
          <w:p w14:paraId="262AE6AF" w14:textId="77EB6C18" w:rsidR="00AB1FD5" w:rsidRPr="00644D4C" w:rsidRDefault="00AB1FD5" w:rsidP="00AB1FD5">
            <w:pPr>
              <w:spacing w:line="360" w:lineRule="auto"/>
              <w:jc w:val="center"/>
              <w:rPr>
                <w:rFonts w:cstheme="minorHAnsi"/>
                <w:b/>
                <w:bCs/>
                <w:sz w:val="20"/>
                <w:szCs w:val="20"/>
                <w:lang w:eastAsia="pl-PL"/>
              </w:rPr>
            </w:pPr>
            <w:r w:rsidRPr="00644D4C">
              <w:rPr>
                <w:rFonts w:cstheme="minorHAnsi"/>
                <w:b/>
                <w:bCs/>
                <w:sz w:val="20"/>
                <w:szCs w:val="20"/>
                <w:lang w:eastAsia="pl-PL"/>
              </w:rPr>
              <w:t>obywatelskim oraz edukacji prawnej oraz niektórych innych ustaw (UD494)</w:t>
            </w:r>
          </w:p>
        </w:tc>
      </w:tr>
      <w:tr w:rsidR="00F2101A" w:rsidRPr="00644D4C" w14:paraId="4E64906A" w14:textId="77777777" w:rsidTr="00F2101A">
        <w:trPr>
          <w:trHeight w:val="827"/>
          <w:jc w:val="center"/>
        </w:trPr>
        <w:tc>
          <w:tcPr>
            <w:tcW w:w="1806" w:type="dxa"/>
            <w:shd w:val="clear" w:color="auto" w:fill="A6A6A6" w:themeFill="background1" w:themeFillShade="A6"/>
            <w:vAlign w:val="center"/>
          </w:tcPr>
          <w:p w14:paraId="54BBBDC1" w14:textId="734670D8" w:rsidR="00AB1FD5" w:rsidRPr="00644D4C" w:rsidRDefault="00644D4C" w:rsidP="0065408E">
            <w:pPr>
              <w:spacing w:line="360" w:lineRule="auto"/>
              <w:jc w:val="center"/>
              <w:rPr>
                <w:rFonts w:cstheme="minorHAnsi"/>
                <w:b/>
                <w:sz w:val="20"/>
                <w:szCs w:val="20"/>
                <w:lang w:eastAsia="pl-PL"/>
              </w:rPr>
            </w:pPr>
            <w:r w:rsidRPr="00644D4C">
              <w:rPr>
                <w:rFonts w:cstheme="minorHAnsi"/>
                <w:b/>
                <w:sz w:val="20"/>
                <w:szCs w:val="20"/>
                <w:lang w:eastAsia="pl-PL"/>
              </w:rPr>
              <w:t>Lp.</w:t>
            </w:r>
          </w:p>
        </w:tc>
        <w:tc>
          <w:tcPr>
            <w:tcW w:w="1134" w:type="dxa"/>
            <w:shd w:val="clear" w:color="auto" w:fill="A6A6A6" w:themeFill="background1" w:themeFillShade="A6"/>
            <w:vAlign w:val="center"/>
          </w:tcPr>
          <w:p w14:paraId="416B6716" w14:textId="38A9C6AA" w:rsidR="00AB1FD5" w:rsidRPr="00644D4C" w:rsidRDefault="00644D4C" w:rsidP="00F2101A">
            <w:pPr>
              <w:jc w:val="center"/>
              <w:rPr>
                <w:rFonts w:cstheme="minorHAnsi"/>
                <w:b/>
                <w:sz w:val="20"/>
                <w:szCs w:val="20"/>
                <w:lang w:eastAsia="pl-PL"/>
              </w:rPr>
            </w:pPr>
            <w:r w:rsidRPr="00644D4C">
              <w:rPr>
                <w:rFonts w:cstheme="minorHAnsi"/>
                <w:b/>
                <w:bCs/>
                <w:sz w:val="20"/>
                <w:szCs w:val="20"/>
              </w:rPr>
              <w:t>Podmiot zgłaszający uwagę</w:t>
            </w:r>
          </w:p>
        </w:tc>
        <w:tc>
          <w:tcPr>
            <w:tcW w:w="2001" w:type="dxa"/>
            <w:shd w:val="clear" w:color="auto" w:fill="A6A6A6" w:themeFill="background1" w:themeFillShade="A6"/>
            <w:vAlign w:val="center"/>
          </w:tcPr>
          <w:p w14:paraId="6BE581E3" w14:textId="0698B807" w:rsidR="00F2101A" w:rsidRDefault="00644D4C" w:rsidP="00F2101A">
            <w:pPr>
              <w:jc w:val="center"/>
              <w:rPr>
                <w:rFonts w:cstheme="minorHAnsi"/>
                <w:b/>
                <w:bCs/>
                <w:sz w:val="20"/>
                <w:szCs w:val="20"/>
              </w:rPr>
            </w:pPr>
            <w:r w:rsidRPr="00644D4C">
              <w:rPr>
                <w:rFonts w:cstheme="minorHAnsi"/>
                <w:b/>
                <w:bCs/>
                <w:sz w:val="20"/>
                <w:szCs w:val="20"/>
              </w:rPr>
              <w:t>Jedn</w:t>
            </w:r>
            <w:r w:rsidR="00F2101A">
              <w:rPr>
                <w:rFonts w:cstheme="minorHAnsi"/>
                <w:b/>
                <w:bCs/>
                <w:sz w:val="20"/>
                <w:szCs w:val="20"/>
              </w:rPr>
              <w:t>.</w:t>
            </w:r>
            <w:r w:rsidRPr="00644D4C">
              <w:rPr>
                <w:rFonts w:cstheme="minorHAnsi"/>
                <w:b/>
                <w:bCs/>
                <w:sz w:val="20"/>
                <w:szCs w:val="20"/>
              </w:rPr>
              <w:t xml:space="preserve"> </w:t>
            </w:r>
            <w:r w:rsidRPr="00644D4C">
              <w:rPr>
                <w:rFonts w:cstheme="minorHAnsi"/>
                <w:b/>
                <w:bCs/>
                <w:sz w:val="20"/>
                <w:szCs w:val="20"/>
              </w:rPr>
              <w:t>redakcyjna</w:t>
            </w:r>
            <w:r w:rsidRPr="00644D4C">
              <w:rPr>
                <w:rFonts w:cstheme="minorHAnsi"/>
                <w:b/>
                <w:bCs/>
                <w:sz w:val="20"/>
                <w:szCs w:val="20"/>
              </w:rPr>
              <w:t xml:space="preserve"> /</w:t>
            </w:r>
            <w:r w:rsidRPr="00644D4C">
              <w:rPr>
                <w:rFonts w:cstheme="minorHAnsi"/>
                <w:b/>
                <w:bCs/>
                <w:sz w:val="20"/>
                <w:szCs w:val="20"/>
              </w:rPr>
              <w:t>Str</w:t>
            </w:r>
            <w:r w:rsidR="00F2101A">
              <w:rPr>
                <w:rFonts w:cstheme="minorHAnsi"/>
                <w:b/>
                <w:bCs/>
                <w:sz w:val="20"/>
                <w:szCs w:val="20"/>
              </w:rPr>
              <w:t>.</w:t>
            </w:r>
            <w:r w:rsidRPr="00644D4C">
              <w:rPr>
                <w:rFonts w:cstheme="minorHAnsi"/>
                <w:b/>
                <w:bCs/>
                <w:sz w:val="20"/>
                <w:szCs w:val="20"/>
              </w:rPr>
              <w:t xml:space="preserve"> uzasadnienia</w:t>
            </w:r>
            <w:r w:rsidRPr="00644D4C">
              <w:rPr>
                <w:rFonts w:cstheme="minorHAnsi"/>
                <w:b/>
                <w:bCs/>
                <w:sz w:val="20"/>
                <w:szCs w:val="20"/>
              </w:rPr>
              <w:t xml:space="preserve">/ </w:t>
            </w:r>
          </w:p>
          <w:p w14:paraId="505E85E4" w14:textId="58B9D321" w:rsidR="00AB1FD5" w:rsidRPr="00644D4C" w:rsidRDefault="00644D4C" w:rsidP="00F2101A">
            <w:pPr>
              <w:jc w:val="center"/>
              <w:rPr>
                <w:rFonts w:cstheme="minorHAnsi"/>
                <w:b/>
                <w:sz w:val="20"/>
                <w:szCs w:val="20"/>
                <w:lang w:eastAsia="pl-PL"/>
              </w:rPr>
            </w:pPr>
            <w:r w:rsidRPr="00644D4C">
              <w:rPr>
                <w:rFonts w:cstheme="minorHAnsi"/>
                <w:b/>
                <w:bCs/>
                <w:sz w:val="20"/>
                <w:szCs w:val="20"/>
              </w:rPr>
              <w:t>Pkt OSR</w:t>
            </w:r>
          </w:p>
        </w:tc>
        <w:tc>
          <w:tcPr>
            <w:tcW w:w="5350" w:type="dxa"/>
            <w:shd w:val="clear" w:color="auto" w:fill="A6A6A6" w:themeFill="background1" w:themeFillShade="A6"/>
            <w:vAlign w:val="center"/>
          </w:tcPr>
          <w:p w14:paraId="55435FEE" w14:textId="43D563A1" w:rsidR="00AB1FD5" w:rsidRPr="00644D4C" w:rsidRDefault="00644D4C" w:rsidP="0065408E">
            <w:pPr>
              <w:spacing w:line="360" w:lineRule="auto"/>
              <w:jc w:val="center"/>
              <w:rPr>
                <w:rFonts w:cstheme="minorHAnsi"/>
                <w:b/>
                <w:sz w:val="20"/>
                <w:szCs w:val="20"/>
                <w:lang w:eastAsia="pl-PL"/>
              </w:rPr>
            </w:pPr>
            <w:r w:rsidRPr="00644D4C">
              <w:rPr>
                <w:rFonts w:cstheme="minorHAnsi"/>
                <w:b/>
                <w:bCs/>
                <w:sz w:val="20"/>
                <w:szCs w:val="20"/>
              </w:rPr>
              <w:t>Treść uwagi / Propozycja zapisu</w:t>
            </w:r>
          </w:p>
        </w:tc>
        <w:tc>
          <w:tcPr>
            <w:tcW w:w="3703" w:type="dxa"/>
            <w:shd w:val="clear" w:color="auto" w:fill="A6A6A6" w:themeFill="background1" w:themeFillShade="A6"/>
            <w:vAlign w:val="center"/>
          </w:tcPr>
          <w:p w14:paraId="663D07E4" w14:textId="26E59A58" w:rsidR="00AB1FD5" w:rsidRPr="00644D4C" w:rsidRDefault="00644D4C" w:rsidP="0065408E">
            <w:pPr>
              <w:spacing w:line="360" w:lineRule="auto"/>
              <w:jc w:val="center"/>
              <w:rPr>
                <w:rFonts w:cstheme="minorHAnsi"/>
                <w:b/>
                <w:sz w:val="20"/>
                <w:szCs w:val="20"/>
                <w:lang w:eastAsia="pl-PL"/>
              </w:rPr>
            </w:pPr>
            <w:r w:rsidRPr="00644D4C">
              <w:rPr>
                <w:rFonts w:cstheme="minorHAnsi"/>
                <w:b/>
                <w:bCs/>
                <w:sz w:val="20"/>
                <w:szCs w:val="20"/>
              </w:rPr>
              <w:t>Stanowisko MS</w:t>
            </w:r>
          </w:p>
        </w:tc>
      </w:tr>
      <w:tr w:rsidR="00AB1FD5" w:rsidRPr="00644D4C" w14:paraId="3A85CEF3" w14:textId="77777777" w:rsidTr="00F2101A">
        <w:trPr>
          <w:jc w:val="center"/>
        </w:trPr>
        <w:tc>
          <w:tcPr>
            <w:tcW w:w="1806" w:type="dxa"/>
          </w:tcPr>
          <w:p w14:paraId="640AA766" w14:textId="6CF4493D" w:rsidR="00AB1FD5" w:rsidRPr="00644D4C" w:rsidRDefault="00AB1FD5" w:rsidP="00F2101A">
            <w:pPr>
              <w:spacing w:before="120"/>
              <w:jc w:val="center"/>
              <w:rPr>
                <w:rFonts w:cstheme="minorHAnsi"/>
                <w:b/>
                <w:sz w:val="20"/>
                <w:szCs w:val="20"/>
              </w:rPr>
            </w:pPr>
            <w:r w:rsidRPr="00644D4C">
              <w:rPr>
                <w:rFonts w:cstheme="minorHAnsi"/>
                <w:b/>
                <w:sz w:val="20"/>
                <w:szCs w:val="20"/>
              </w:rPr>
              <w:t>1.</w:t>
            </w:r>
          </w:p>
        </w:tc>
        <w:tc>
          <w:tcPr>
            <w:tcW w:w="1134" w:type="dxa"/>
            <w:vAlign w:val="center"/>
          </w:tcPr>
          <w:p w14:paraId="07C4D205" w14:textId="415AA6EE" w:rsidR="00AB1FD5" w:rsidRPr="00644D4C" w:rsidRDefault="00AB1FD5" w:rsidP="00AB1FD5">
            <w:pPr>
              <w:spacing w:before="120" w:after="120"/>
              <w:jc w:val="center"/>
              <w:rPr>
                <w:rFonts w:cstheme="minorHAnsi"/>
                <w:sz w:val="20"/>
                <w:szCs w:val="20"/>
              </w:rPr>
            </w:pPr>
            <w:r w:rsidRPr="00644D4C">
              <w:rPr>
                <w:rFonts w:cstheme="minorHAnsi"/>
                <w:sz w:val="20"/>
                <w:szCs w:val="20"/>
              </w:rPr>
              <w:t>Minister Finansów</w:t>
            </w:r>
          </w:p>
        </w:tc>
        <w:tc>
          <w:tcPr>
            <w:tcW w:w="2001" w:type="dxa"/>
            <w:vAlign w:val="center"/>
          </w:tcPr>
          <w:p w14:paraId="190A0A0A" w14:textId="77777777" w:rsidR="00AB1FD5" w:rsidRPr="00644D4C" w:rsidRDefault="00AB1FD5" w:rsidP="00AB1FD5">
            <w:pPr>
              <w:snapToGrid w:val="0"/>
              <w:contextualSpacing/>
              <w:jc w:val="center"/>
              <w:rPr>
                <w:rFonts w:cstheme="minorHAnsi"/>
                <w:b/>
                <w:bCs/>
                <w:sz w:val="20"/>
                <w:szCs w:val="20"/>
              </w:rPr>
            </w:pPr>
            <w:r w:rsidRPr="00644D4C">
              <w:rPr>
                <w:rFonts w:cstheme="minorHAnsi"/>
                <w:b/>
                <w:bCs/>
                <w:sz w:val="20"/>
                <w:szCs w:val="20"/>
              </w:rPr>
              <w:t>art. 5a</w:t>
            </w:r>
          </w:p>
          <w:p w14:paraId="312FE0E0" w14:textId="77777777" w:rsidR="00AB1FD5" w:rsidRPr="00644D4C" w:rsidRDefault="00AB1FD5" w:rsidP="00AB1FD5">
            <w:pPr>
              <w:snapToGrid w:val="0"/>
              <w:contextualSpacing/>
              <w:jc w:val="center"/>
              <w:rPr>
                <w:rFonts w:cstheme="minorHAnsi"/>
                <w:b/>
                <w:bCs/>
                <w:sz w:val="20"/>
                <w:szCs w:val="20"/>
              </w:rPr>
            </w:pPr>
            <w:r w:rsidRPr="00644D4C">
              <w:rPr>
                <w:rFonts w:cstheme="minorHAnsi"/>
                <w:b/>
                <w:bCs/>
                <w:sz w:val="20"/>
                <w:szCs w:val="20"/>
              </w:rPr>
              <w:t>(art. 1 pkt 6 projektu)</w:t>
            </w:r>
          </w:p>
          <w:p w14:paraId="24B9B4C1" w14:textId="241576C8" w:rsidR="00AB1FD5" w:rsidRPr="00644D4C" w:rsidRDefault="00AB1FD5" w:rsidP="00AB1FD5">
            <w:pPr>
              <w:spacing w:before="120" w:after="120"/>
              <w:jc w:val="center"/>
              <w:rPr>
                <w:rFonts w:cstheme="minorHAnsi"/>
                <w:sz w:val="20"/>
                <w:szCs w:val="20"/>
              </w:rPr>
            </w:pPr>
          </w:p>
        </w:tc>
        <w:tc>
          <w:tcPr>
            <w:tcW w:w="5350" w:type="dxa"/>
            <w:vAlign w:val="center"/>
          </w:tcPr>
          <w:p w14:paraId="02EAF234" w14:textId="77777777" w:rsidR="00AB1FD5" w:rsidRPr="00644D4C" w:rsidRDefault="00AB1FD5" w:rsidP="00AB1FD5">
            <w:pPr>
              <w:contextualSpacing/>
              <w:jc w:val="both"/>
              <w:rPr>
                <w:rFonts w:cstheme="minorHAnsi"/>
                <w:sz w:val="20"/>
                <w:szCs w:val="20"/>
              </w:rPr>
            </w:pPr>
            <w:r w:rsidRPr="00644D4C">
              <w:rPr>
                <w:rFonts w:cstheme="minorHAnsi"/>
                <w:sz w:val="20"/>
                <w:szCs w:val="20"/>
              </w:rPr>
              <w:t>Z przepisu tego nie wynika, po czyjej stronie mogą zaistnieć „ważne powody” uzasadniające odmowę udzielenia nieodpłatnej pomocy prawnej lub nieodpłatnego poradnictwa obywatelskiego. Nie jest także jasne czy taka odmowa wpłynie na wysokość wynagrodzenia otrzymywanego przez osobę udzielającą nieodpłatnej pomocy prawnej lub świadczącą nieodpłatne poradnictwo obywatelskie (i w jaki sposób).</w:t>
            </w:r>
          </w:p>
          <w:p w14:paraId="035806AA" w14:textId="0A5A6500" w:rsidR="00AB1FD5" w:rsidRPr="00644D4C" w:rsidRDefault="00AB1FD5" w:rsidP="00AB1FD5">
            <w:pPr>
              <w:jc w:val="both"/>
              <w:rPr>
                <w:rFonts w:eastAsia="Times New Roman" w:cstheme="minorHAnsi"/>
                <w:sz w:val="20"/>
                <w:szCs w:val="20"/>
                <w:lang w:eastAsia="pl-PL"/>
              </w:rPr>
            </w:pPr>
            <w:r w:rsidRPr="00644D4C">
              <w:rPr>
                <w:rFonts w:cstheme="minorHAnsi"/>
                <w:sz w:val="20"/>
                <w:szCs w:val="20"/>
              </w:rPr>
              <w:t>Nie zostały natomiast określone, a co za tym idzie nie zostały także zróżnicowane „ważne powody” odmowy. Budzi to wątpliwości, przede wszystkim z powodu zróżnicowanego statusu osób udzielających pomocy lub poradnictwa. Chodzi w szczególności o związanie adwokatów i radców prawnych oraz doradców podatkowych zasadami etyki zawodowej. W przypadku pozostałych osób ocena, czy „ważny powód” występuje, musi być dokonywana z zastosowaniem innych, niejako „łagodniejszych” kryteriów.</w:t>
            </w:r>
          </w:p>
        </w:tc>
        <w:tc>
          <w:tcPr>
            <w:tcW w:w="3703" w:type="dxa"/>
          </w:tcPr>
          <w:p w14:paraId="79D1A7DC" w14:textId="77777777" w:rsidR="00AB1FD5" w:rsidRPr="00644D4C" w:rsidRDefault="00AB1FD5" w:rsidP="00AB1FD5">
            <w:pPr>
              <w:contextualSpacing/>
              <w:jc w:val="both"/>
              <w:rPr>
                <w:rFonts w:cstheme="minorHAnsi"/>
                <w:b/>
                <w:bCs/>
                <w:sz w:val="20"/>
                <w:szCs w:val="20"/>
              </w:rPr>
            </w:pPr>
            <w:r w:rsidRPr="00644D4C">
              <w:rPr>
                <w:rFonts w:cstheme="minorHAnsi"/>
                <w:b/>
                <w:bCs/>
                <w:sz w:val="20"/>
                <w:szCs w:val="20"/>
              </w:rPr>
              <w:t xml:space="preserve">Uwaga nieuwzględniona. </w:t>
            </w:r>
          </w:p>
          <w:p w14:paraId="7B21A96A" w14:textId="77777777" w:rsidR="00AB1FD5" w:rsidRPr="00644D4C" w:rsidRDefault="00AB1FD5" w:rsidP="00AB1FD5">
            <w:pPr>
              <w:contextualSpacing/>
              <w:jc w:val="both"/>
              <w:rPr>
                <w:rFonts w:cstheme="minorHAnsi"/>
                <w:sz w:val="20"/>
                <w:szCs w:val="20"/>
              </w:rPr>
            </w:pPr>
            <w:r w:rsidRPr="00644D4C">
              <w:rPr>
                <w:rFonts w:cstheme="minorHAnsi"/>
                <w:sz w:val="20"/>
                <w:szCs w:val="20"/>
              </w:rPr>
              <w:t>Celowo nie wskazano</w:t>
            </w:r>
            <w:r w:rsidRPr="00644D4C">
              <w:rPr>
                <w:rFonts w:cstheme="minorHAnsi"/>
                <w:b/>
                <w:bCs/>
                <w:sz w:val="20"/>
                <w:szCs w:val="20"/>
              </w:rPr>
              <w:t xml:space="preserve"> </w:t>
            </w:r>
            <w:r w:rsidRPr="00644D4C">
              <w:rPr>
                <w:rFonts w:cstheme="minorHAnsi"/>
                <w:sz w:val="20"/>
                <w:szCs w:val="20"/>
              </w:rPr>
              <w:t>po czyjej stronie mogą zaistnieć „ważne powody”, gdyż mogą one wystąpić zarówno po stronie wykonawcy jaki i beneficjenta. Odmowa nie może wpłynąć na wysokość wynagrodzenia, gdyż nie jest ono uzależnione od udzielanych porad, lecz zapłata przysługuje już za samą gotowość świadczenia pomocy, obecność na dyżurze.</w:t>
            </w:r>
          </w:p>
          <w:p w14:paraId="63046439" w14:textId="556D4982" w:rsidR="00AB1FD5" w:rsidRPr="00644D4C" w:rsidRDefault="00AB1FD5" w:rsidP="00AB1FD5">
            <w:pPr>
              <w:autoSpaceDE w:val="0"/>
              <w:autoSpaceDN w:val="0"/>
              <w:adjustRightInd w:val="0"/>
              <w:jc w:val="both"/>
              <w:rPr>
                <w:rFonts w:eastAsia="Times New Roman" w:cstheme="minorHAnsi"/>
                <w:sz w:val="20"/>
                <w:szCs w:val="20"/>
                <w:lang w:eastAsia="pl-PL"/>
              </w:rPr>
            </w:pPr>
            <w:r w:rsidRPr="00644D4C">
              <w:rPr>
                <w:rFonts w:cstheme="minorHAnsi"/>
                <w:sz w:val="20"/>
                <w:szCs w:val="20"/>
              </w:rPr>
              <w:t>Nie wydaje się konieczne doprecyzowanie pojęcia ważnych powodów, a w konsekwencji również jego różnicowanie dla różnych kategorii wykonawców. Konstrukcja ta została zaczerpnięta z prawniczych samorządów zawodowych, gdzie nie zdecydowano się na takie doprecyzowanie. Z kolei pomocniczo, w przypadku wątpliwości można w tym zakresie wykorzystywać wypracowany dorobek piśmiennictwa i judykatury.</w:t>
            </w:r>
          </w:p>
        </w:tc>
      </w:tr>
      <w:tr w:rsidR="00AB1FD5" w:rsidRPr="00644D4C" w14:paraId="1809D44E" w14:textId="77777777" w:rsidTr="00F2101A">
        <w:trPr>
          <w:jc w:val="center"/>
        </w:trPr>
        <w:tc>
          <w:tcPr>
            <w:tcW w:w="1806" w:type="dxa"/>
          </w:tcPr>
          <w:p w14:paraId="5004FB4C" w14:textId="4059DF8E" w:rsidR="00AB1FD5" w:rsidRPr="00644D4C" w:rsidRDefault="008D5299" w:rsidP="00F2101A">
            <w:pPr>
              <w:spacing w:before="120"/>
              <w:ind w:right="4"/>
              <w:jc w:val="center"/>
              <w:rPr>
                <w:rFonts w:cstheme="minorHAnsi"/>
                <w:b/>
                <w:sz w:val="20"/>
                <w:szCs w:val="20"/>
              </w:rPr>
            </w:pPr>
            <w:r>
              <w:rPr>
                <w:rFonts w:cstheme="minorHAnsi"/>
                <w:b/>
                <w:sz w:val="20"/>
                <w:szCs w:val="20"/>
              </w:rPr>
              <w:t>2.</w:t>
            </w:r>
          </w:p>
        </w:tc>
        <w:tc>
          <w:tcPr>
            <w:tcW w:w="1134" w:type="dxa"/>
            <w:vAlign w:val="center"/>
          </w:tcPr>
          <w:p w14:paraId="6A2969C0" w14:textId="0D96C1B8" w:rsidR="00AB1FD5" w:rsidRPr="00644D4C" w:rsidRDefault="00AB1FD5" w:rsidP="00AB1FD5">
            <w:pPr>
              <w:spacing w:before="120" w:after="120"/>
              <w:jc w:val="center"/>
              <w:rPr>
                <w:rFonts w:cstheme="minorHAnsi"/>
                <w:sz w:val="20"/>
                <w:szCs w:val="20"/>
              </w:rPr>
            </w:pPr>
            <w:r w:rsidRPr="00644D4C">
              <w:rPr>
                <w:rFonts w:cstheme="minorHAnsi"/>
                <w:sz w:val="20"/>
                <w:szCs w:val="20"/>
              </w:rPr>
              <w:t>Minister Cyfryzacji</w:t>
            </w:r>
          </w:p>
        </w:tc>
        <w:tc>
          <w:tcPr>
            <w:tcW w:w="2001" w:type="dxa"/>
            <w:vAlign w:val="center"/>
          </w:tcPr>
          <w:p w14:paraId="68366D60" w14:textId="77777777" w:rsidR="00AB1FD5" w:rsidRPr="00644D4C" w:rsidRDefault="00AB1FD5" w:rsidP="00AB1FD5">
            <w:pPr>
              <w:snapToGrid w:val="0"/>
              <w:contextualSpacing/>
              <w:jc w:val="center"/>
              <w:rPr>
                <w:rFonts w:cstheme="minorHAnsi"/>
                <w:b/>
                <w:bCs/>
                <w:sz w:val="20"/>
                <w:szCs w:val="20"/>
              </w:rPr>
            </w:pPr>
            <w:r w:rsidRPr="00644D4C">
              <w:rPr>
                <w:rFonts w:cstheme="minorHAnsi"/>
                <w:b/>
                <w:bCs/>
                <w:sz w:val="20"/>
                <w:szCs w:val="20"/>
              </w:rPr>
              <w:t>art. 11 ust. 5</w:t>
            </w:r>
          </w:p>
          <w:p w14:paraId="51CACE1B" w14:textId="0B0EDFAF" w:rsidR="00AB1FD5" w:rsidRPr="00644D4C" w:rsidRDefault="00AB1FD5" w:rsidP="00AB1FD5">
            <w:pPr>
              <w:spacing w:before="120" w:after="120"/>
              <w:jc w:val="center"/>
              <w:rPr>
                <w:rFonts w:cstheme="minorHAnsi"/>
                <w:b/>
                <w:bCs/>
                <w:sz w:val="20"/>
                <w:szCs w:val="20"/>
              </w:rPr>
            </w:pPr>
            <w:r w:rsidRPr="00644D4C">
              <w:rPr>
                <w:rFonts w:cstheme="minorHAnsi"/>
                <w:b/>
                <w:bCs/>
                <w:sz w:val="20"/>
                <w:szCs w:val="20"/>
              </w:rPr>
              <w:t>(art. 1 pkt 13 lit. k projektu)</w:t>
            </w:r>
          </w:p>
        </w:tc>
        <w:tc>
          <w:tcPr>
            <w:tcW w:w="5350" w:type="dxa"/>
            <w:vAlign w:val="center"/>
          </w:tcPr>
          <w:p w14:paraId="6C51B61A" w14:textId="3B8401A8" w:rsidR="00AB1FD5" w:rsidRPr="00644D4C" w:rsidRDefault="00AB1FD5" w:rsidP="00AB1FD5">
            <w:pPr>
              <w:jc w:val="both"/>
              <w:rPr>
                <w:rFonts w:eastAsia="Times New Roman" w:cstheme="minorHAnsi"/>
                <w:sz w:val="20"/>
                <w:szCs w:val="20"/>
                <w:lang w:eastAsia="pl-PL"/>
              </w:rPr>
            </w:pPr>
            <w:r w:rsidRPr="00644D4C">
              <w:rPr>
                <w:rFonts w:cstheme="minorHAnsi"/>
                <w:sz w:val="20"/>
                <w:szCs w:val="20"/>
                <w:lang w:eastAsia="pl-PL"/>
              </w:rPr>
              <w:t xml:space="preserve">Przepis jest niewystarczający w kontekście zasad wynikających z art. 5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w:t>
            </w:r>
            <w:r w:rsidRPr="00644D4C">
              <w:rPr>
                <w:rFonts w:cstheme="minorHAnsi"/>
                <w:sz w:val="20"/>
                <w:szCs w:val="20"/>
                <w:lang w:eastAsia="pl-PL"/>
              </w:rPr>
              <w:lastRenderedPageBreak/>
              <w:t>danych), zwanego dalej „RODO”. O ile jest wskazany został cel i retencja, brakuje informacji w zakresie jakich danych administratorem będzie starosta- zasada minimalizacji i adekwatności.</w:t>
            </w:r>
          </w:p>
        </w:tc>
        <w:tc>
          <w:tcPr>
            <w:tcW w:w="3703" w:type="dxa"/>
          </w:tcPr>
          <w:p w14:paraId="4647A16B" w14:textId="77777777" w:rsidR="00AB1FD5" w:rsidRPr="00644D4C" w:rsidRDefault="00AB1FD5" w:rsidP="00AB1FD5">
            <w:pPr>
              <w:snapToGrid w:val="0"/>
              <w:contextualSpacing/>
              <w:jc w:val="both"/>
              <w:rPr>
                <w:rFonts w:cstheme="minorHAnsi"/>
                <w:b/>
                <w:bCs/>
                <w:sz w:val="20"/>
                <w:szCs w:val="20"/>
              </w:rPr>
            </w:pPr>
            <w:r w:rsidRPr="00644D4C">
              <w:rPr>
                <w:rFonts w:cstheme="minorHAnsi"/>
                <w:b/>
                <w:bCs/>
                <w:sz w:val="20"/>
                <w:szCs w:val="20"/>
              </w:rPr>
              <w:lastRenderedPageBreak/>
              <w:t>Uwaga nieuwzględniona.</w:t>
            </w:r>
          </w:p>
          <w:p w14:paraId="15C3EA8D" w14:textId="50F7BAE8" w:rsidR="00AB1FD5" w:rsidRPr="00644D4C" w:rsidRDefault="00AB1FD5" w:rsidP="00AB1FD5">
            <w:pPr>
              <w:autoSpaceDE w:val="0"/>
              <w:autoSpaceDN w:val="0"/>
              <w:adjustRightInd w:val="0"/>
              <w:jc w:val="both"/>
              <w:rPr>
                <w:rFonts w:eastAsia="Times New Roman" w:cstheme="minorHAnsi"/>
                <w:b/>
                <w:bCs/>
                <w:sz w:val="20"/>
                <w:szCs w:val="20"/>
                <w:lang w:eastAsia="pl-PL"/>
              </w:rPr>
            </w:pPr>
            <w:r w:rsidRPr="00644D4C">
              <w:rPr>
                <w:rFonts w:cstheme="minorHAnsi"/>
                <w:sz w:val="20"/>
                <w:szCs w:val="20"/>
              </w:rPr>
              <w:t xml:space="preserve">Przepis art. 11 ust. 5 powiela uchylone, z uwagi na rezygnacje z oświadczeń o niemożności poniesienia kosztów, regulacje dotyczące przetwarzania danych zawartych w ww. oświadczeniach. Ponadto </w:t>
            </w:r>
            <w:r w:rsidRPr="00644D4C">
              <w:rPr>
                <w:rFonts w:cstheme="minorHAnsi"/>
                <w:sz w:val="20"/>
                <w:szCs w:val="20"/>
              </w:rPr>
              <w:lastRenderedPageBreak/>
              <w:t>przepis art. 11 ust. 5 wskazuje, że chodzi o dane, które wynikają tylko z oświadczenia będącego załącznikiem do ustawy. Podkreślenia wymaga, że dotychczasowe brzmienie przepisu nie było dotąd kwestionowane, a rozwiązanie takie funkcjonuje w obro</w:t>
            </w:r>
            <w:r w:rsidR="008D5299">
              <w:rPr>
                <w:rFonts w:cstheme="minorHAnsi"/>
                <w:sz w:val="20"/>
                <w:szCs w:val="20"/>
              </w:rPr>
              <w:t>c</w:t>
            </w:r>
            <w:r w:rsidRPr="00644D4C">
              <w:rPr>
                <w:rFonts w:cstheme="minorHAnsi"/>
                <w:sz w:val="20"/>
                <w:szCs w:val="20"/>
              </w:rPr>
              <w:t xml:space="preserve">ie prawnym bez żadnych przeszkód. </w:t>
            </w:r>
          </w:p>
        </w:tc>
      </w:tr>
      <w:tr w:rsidR="00AB1FD5" w:rsidRPr="00644D4C" w14:paraId="08798C30" w14:textId="77777777" w:rsidTr="00F2101A">
        <w:trPr>
          <w:jc w:val="center"/>
        </w:trPr>
        <w:tc>
          <w:tcPr>
            <w:tcW w:w="1806" w:type="dxa"/>
          </w:tcPr>
          <w:p w14:paraId="2C07B4BA" w14:textId="7016CECB" w:rsidR="00AB1FD5" w:rsidRPr="00644D4C" w:rsidRDefault="00AB1FD5" w:rsidP="00F2101A">
            <w:pPr>
              <w:spacing w:before="120"/>
              <w:ind w:right="4"/>
              <w:jc w:val="center"/>
              <w:rPr>
                <w:rFonts w:cstheme="minorHAnsi"/>
                <w:b/>
                <w:sz w:val="20"/>
                <w:szCs w:val="20"/>
              </w:rPr>
            </w:pPr>
            <w:bookmarkStart w:id="0" w:name="_Hlk90460400"/>
            <w:r w:rsidRPr="00644D4C">
              <w:rPr>
                <w:rFonts w:cstheme="minorHAnsi"/>
                <w:b/>
                <w:sz w:val="20"/>
                <w:szCs w:val="20"/>
              </w:rPr>
              <w:lastRenderedPageBreak/>
              <w:t>3.</w:t>
            </w:r>
          </w:p>
        </w:tc>
        <w:tc>
          <w:tcPr>
            <w:tcW w:w="1134" w:type="dxa"/>
            <w:vAlign w:val="center"/>
          </w:tcPr>
          <w:p w14:paraId="3EAD1A1D" w14:textId="6428E07D" w:rsidR="00AB1FD5" w:rsidRPr="00644D4C" w:rsidRDefault="00AB1FD5" w:rsidP="00AB1FD5">
            <w:pPr>
              <w:spacing w:before="120" w:after="120"/>
              <w:jc w:val="center"/>
              <w:rPr>
                <w:rFonts w:cstheme="minorHAnsi"/>
                <w:sz w:val="20"/>
                <w:szCs w:val="20"/>
              </w:rPr>
            </w:pPr>
            <w:r w:rsidRPr="00644D4C">
              <w:rPr>
                <w:rFonts w:cstheme="minorHAnsi"/>
                <w:sz w:val="20"/>
                <w:szCs w:val="20"/>
              </w:rPr>
              <w:t>Rządowe Centrum Legislacji</w:t>
            </w:r>
          </w:p>
        </w:tc>
        <w:tc>
          <w:tcPr>
            <w:tcW w:w="2001" w:type="dxa"/>
            <w:vAlign w:val="center"/>
          </w:tcPr>
          <w:p w14:paraId="6C2E9391" w14:textId="77777777" w:rsidR="00AB1FD5" w:rsidRPr="00644D4C" w:rsidRDefault="00AB1FD5" w:rsidP="00AB1FD5">
            <w:pPr>
              <w:spacing w:before="120" w:after="120"/>
              <w:jc w:val="center"/>
              <w:rPr>
                <w:rFonts w:cstheme="minorHAnsi"/>
                <w:b/>
                <w:bCs/>
                <w:sz w:val="20"/>
                <w:szCs w:val="20"/>
              </w:rPr>
            </w:pPr>
            <w:r w:rsidRPr="00644D4C">
              <w:rPr>
                <w:rFonts w:cstheme="minorHAnsi"/>
                <w:b/>
                <w:bCs/>
                <w:sz w:val="20"/>
                <w:szCs w:val="20"/>
              </w:rPr>
              <w:t>Art. 23a § 8 k.p.k.</w:t>
            </w:r>
          </w:p>
          <w:p w14:paraId="51E0222D" w14:textId="6DD8ACED" w:rsidR="00AB1FD5" w:rsidRPr="00644D4C" w:rsidRDefault="00AB1FD5" w:rsidP="00AB1FD5">
            <w:pPr>
              <w:spacing w:before="120" w:after="120"/>
              <w:jc w:val="center"/>
              <w:rPr>
                <w:rFonts w:cstheme="minorHAnsi"/>
                <w:b/>
                <w:bCs/>
                <w:sz w:val="20"/>
                <w:szCs w:val="20"/>
              </w:rPr>
            </w:pPr>
            <w:r w:rsidRPr="00644D4C">
              <w:rPr>
                <w:rFonts w:cstheme="minorHAnsi"/>
                <w:b/>
                <w:bCs/>
                <w:sz w:val="20"/>
                <w:szCs w:val="20"/>
              </w:rPr>
              <w:t xml:space="preserve">(art. 4 </w:t>
            </w:r>
            <w:r w:rsidR="008D5299">
              <w:rPr>
                <w:rFonts w:cstheme="minorHAnsi"/>
                <w:b/>
                <w:bCs/>
                <w:sz w:val="20"/>
                <w:szCs w:val="20"/>
              </w:rPr>
              <w:t>projektu</w:t>
            </w:r>
            <w:r w:rsidRPr="00644D4C">
              <w:rPr>
                <w:rFonts w:cstheme="minorHAnsi"/>
                <w:b/>
                <w:bCs/>
                <w:sz w:val="20"/>
                <w:szCs w:val="20"/>
              </w:rPr>
              <w:t>)</w:t>
            </w:r>
          </w:p>
          <w:p w14:paraId="11CF9C83" w14:textId="2168163A" w:rsidR="00AB1FD5" w:rsidRPr="00644D4C" w:rsidRDefault="00AB1FD5" w:rsidP="00AB1FD5">
            <w:pPr>
              <w:spacing w:before="120" w:after="120"/>
              <w:jc w:val="center"/>
              <w:rPr>
                <w:rFonts w:cstheme="minorHAnsi"/>
                <w:sz w:val="20"/>
                <w:szCs w:val="20"/>
              </w:rPr>
            </w:pPr>
          </w:p>
        </w:tc>
        <w:tc>
          <w:tcPr>
            <w:tcW w:w="5350" w:type="dxa"/>
            <w:vAlign w:val="center"/>
          </w:tcPr>
          <w:p w14:paraId="64B3F620" w14:textId="3AD5D2C5" w:rsidR="00AB1FD5" w:rsidRPr="00644D4C" w:rsidRDefault="00AB1FD5" w:rsidP="00644D4C">
            <w:pPr>
              <w:jc w:val="both"/>
              <w:rPr>
                <w:rFonts w:eastAsia="Times New Roman" w:cstheme="minorHAnsi"/>
                <w:sz w:val="20"/>
                <w:szCs w:val="20"/>
                <w:lang w:eastAsia="pl-PL"/>
              </w:rPr>
            </w:pPr>
            <w:r w:rsidRPr="00644D4C">
              <w:rPr>
                <w:rFonts w:eastAsia="Times New Roman" w:cstheme="minorHAnsi"/>
                <w:sz w:val="20"/>
                <w:szCs w:val="20"/>
                <w:lang w:eastAsia="pl-PL"/>
              </w:rPr>
              <w:t>Rozważenia wymaga uzupełnienie projektu o przepisy przejściowe, w szczególności wprowadzenie stosownych regulacji intertemporalnych w związku z dodaniem ust. 10b do art. 8 nowelizowanej ustawy oraz ze zmianą upoważnienia ustawowego zawartego w art. 23a § 8 ustawy z dnia 6 czerwca 1997 r. – Kodeks postępowania karnego (Dz. U. z 2022 r. poz. 1375, z późn. zm.).</w:t>
            </w:r>
          </w:p>
        </w:tc>
        <w:tc>
          <w:tcPr>
            <w:tcW w:w="3703" w:type="dxa"/>
          </w:tcPr>
          <w:p w14:paraId="0668A7B5" w14:textId="106DE829" w:rsidR="00AB1FD5" w:rsidRPr="00644D4C" w:rsidRDefault="008D5299" w:rsidP="00644D4C">
            <w:pPr>
              <w:autoSpaceDE w:val="0"/>
              <w:autoSpaceDN w:val="0"/>
              <w:adjustRightInd w:val="0"/>
              <w:jc w:val="both"/>
              <w:rPr>
                <w:rFonts w:eastAsia="Times New Roman" w:cstheme="minorHAnsi"/>
                <w:b/>
                <w:bCs/>
                <w:sz w:val="20"/>
                <w:szCs w:val="20"/>
                <w:lang w:eastAsia="pl-PL"/>
              </w:rPr>
            </w:pPr>
            <w:r>
              <w:rPr>
                <w:rFonts w:eastAsia="Times New Roman" w:cstheme="minorHAnsi"/>
                <w:b/>
                <w:bCs/>
                <w:sz w:val="20"/>
                <w:szCs w:val="20"/>
                <w:lang w:eastAsia="pl-PL"/>
              </w:rPr>
              <w:t>Uwaga n</w:t>
            </w:r>
            <w:r w:rsidR="00AB1FD5" w:rsidRPr="00644D4C">
              <w:rPr>
                <w:rFonts w:eastAsia="Times New Roman" w:cstheme="minorHAnsi"/>
                <w:b/>
                <w:bCs/>
                <w:sz w:val="20"/>
                <w:szCs w:val="20"/>
                <w:lang w:eastAsia="pl-PL"/>
              </w:rPr>
              <w:t>ieuwzględnion</w:t>
            </w:r>
            <w:r>
              <w:rPr>
                <w:rFonts w:eastAsia="Times New Roman" w:cstheme="minorHAnsi"/>
                <w:b/>
                <w:bCs/>
                <w:sz w:val="20"/>
                <w:szCs w:val="20"/>
                <w:lang w:eastAsia="pl-PL"/>
              </w:rPr>
              <w:t>a</w:t>
            </w:r>
            <w:r w:rsidR="00AB1FD5" w:rsidRPr="00644D4C">
              <w:rPr>
                <w:rFonts w:eastAsia="Times New Roman" w:cstheme="minorHAnsi"/>
                <w:b/>
                <w:bCs/>
                <w:sz w:val="20"/>
                <w:szCs w:val="20"/>
                <w:lang w:eastAsia="pl-PL"/>
              </w:rPr>
              <w:t>.</w:t>
            </w:r>
          </w:p>
          <w:p w14:paraId="66F60DBA" w14:textId="34F90EEF" w:rsidR="00AB1FD5" w:rsidRPr="00644D4C" w:rsidRDefault="00AB1FD5" w:rsidP="008D5299">
            <w:pPr>
              <w:autoSpaceDE w:val="0"/>
              <w:autoSpaceDN w:val="0"/>
              <w:adjustRightInd w:val="0"/>
              <w:jc w:val="both"/>
              <w:rPr>
                <w:rFonts w:eastAsia="Times New Roman" w:cstheme="minorHAnsi"/>
                <w:sz w:val="20"/>
                <w:szCs w:val="20"/>
                <w:lang w:eastAsia="pl-PL"/>
              </w:rPr>
            </w:pPr>
            <w:r w:rsidRPr="00644D4C">
              <w:rPr>
                <w:rFonts w:eastAsia="Times New Roman" w:cstheme="minorHAnsi"/>
                <w:sz w:val="20"/>
                <w:szCs w:val="20"/>
                <w:lang w:eastAsia="pl-PL"/>
              </w:rPr>
              <w:t>Projektodawca przeanalizował wskazaną uwagę i uznał, że nie zachodzi konieczność zachowywania w mocy aktu wykonawczego wydanego na podstawie art. 23a § 8 k.p.k., a nowy akt wykonawczy wejdzie w życie, tak jak projektowana ustawa, w dniu 1 września 2023</w:t>
            </w:r>
            <w:r w:rsidR="008D5299">
              <w:rPr>
                <w:rFonts w:eastAsia="Times New Roman" w:cstheme="minorHAnsi"/>
                <w:sz w:val="20"/>
                <w:szCs w:val="20"/>
                <w:lang w:eastAsia="pl-PL"/>
              </w:rPr>
              <w:t> </w:t>
            </w:r>
            <w:r w:rsidRPr="00644D4C">
              <w:rPr>
                <w:rFonts w:eastAsia="Times New Roman" w:cstheme="minorHAnsi"/>
                <w:sz w:val="20"/>
                <w:szCs w:val="20"/>
                <w:lang w:eastAsia="pl-PL"/>
              </w:rPr>
              <w:t>r.</w:t>
            </w:r>
          </w:p>
        </w:tc>
      </w:tr>
      <w:bookmarkEnd w:id="0"/>
      <w:tr w:rsidR="00AB1FD5" w:rsidRPr="00644D4C" w14:paraId="1CA5AB4D" w14:textId="77777777" w:rsidTr="00F2101A">
        <w:trPr>
          <w:jc w:val="center"/>
        </w:trPr>
        <w:tc>
          <w:tcPr>
            <w:tcW w:w="13994" w:type="dxa"/>
            <w:gridSpan w:val="5"/>
            <w:shd w:val="clear" w:color="auto" w:fill="A6A6A6" w:themeFill="background1" w:themeFillShade="A6"/>
          </w:tcPr>
          <w:p w14:paraId="24A9AEDA" w14:textId="5134C805" w:rsidR="00AB1FD5" w:rsidRPr="00644D4C" w:rsidRDefault="00AB1FD5" w:rsidP="00AB1FD5">
            <w:pPr>
              <w:spacing w:before="120" w:after="120"/>
              <w:jc w:val="center"/>
              <w:rPr>
                <w:rFonts w:cstheme="minorHAnsi"/>
                <w:b/>
                <w:bCs/>
                <w:color w:val="000000" w:themeColor="text1"/>
                <w:sz w:val="20"/>
                <w:szCs w:val="20"/>
              </w:rPr>
            </w:pPr>
            <w:r w:rsidRPr="00644D4C">
              <w:rPr>
                <w:rFonts w:cstheme="minorHAnsi"/>
                <w:b/>
                <w:bCs/>
                <w:color w:val="000000" w:themeColor="text1"/>
                <w:sz w:val="20"/>
                <w:szCs w:val="20"/>
              </w:rPr>
              <w:t>Uwagi do uzasadnienia projektu</w:t>
            </w:r>
          </w:p>
        </w:tc>
      </w:tr>
      <w:tr w:rsidR="00AB1FD5" w:rsidRPr="00644D4C" w14:paraId="2156F658" w14:textId="77777777" w:rsidTr="00F2101A">
        <w:trPr>
          <w:jc w:val="center"/>
        </w:trPr>
        <w:tc>
          <w:tcPr>
            <w:tcW w:w="1806" w:type="dxa"/>
          </w:tcPr>
          <w:p w14:paraId="79AAA3D9" w14:textId="3DE50848" w:rsidR="00AB1FD5" w:rsidRPr="00644D4C" w:rsidRDefault="00AB1FD5" w:rsidP="00F2101A">
            <w:pPr>
              <w:spacing w:before="120"/>
              <w:ind w:right="4"/>
              <w:jc w:val="center"/>
              <w:rPr>
                <w:rFonts w:cstheme="minorHAnsi"/>
                <w:b/>
                <w:sz w:val="20"/>
                <w:szCs w:val="20"/>
              </w:rPr>
            </w:pPr>
            <w:r w:rsidRPr="00644D4C">
              <w:rPr>
                <w:rFonts w:cstheme="minorHAnsi"/>
                <w:b/>
                <w:sz w:val="20"/>
                <w:szCs w:val="20"/>
              </w:rPr>
              <w:t>1.</w:t>
            </w:r>
          </w:p>
        </w:tc>
        <w:tc>
          <w:tcPr>
            <w:tcW w:w="1134" w:type="dxa"/>
            <w:vAlign w:val="center"/>
          </w:tcPr>
          <w:p w14:paraId="225CC122" w14:textId="3F0BE666" w:rsidR="00AB1FD5" w:rsidRPr="00644D4C" w:rsidRDefault="00AB1FD5" w:rsidP="00AB1FD5">
            <w:pPr>
              <w:spacing w:before="120" w:after="120"/>
              <w:jc w:val="center"/>
              <w:rPr>
                <w:rFonts w:cstheme="minorHAnsi"/>
                <w:sz w:val="20"/>
                <w:szCs w:val="20"/>
              </w:rPr>
            </w:pPr>
            <w:r w:rsidRPr="00644D4C">
              <w:rPr>
                <w:rFonts w:cstheme="minorHAnsi"/>
                <w:sz w:val="20"/>
                <w:szCs w:val="20"/>
              </w:rPr>
              <w:t>Minister Finansów</w:t>
            </w:r>
          </w:p>
        </w:tc>
        <w:tc>
          <w:tcPr>
            <w:tcW w:w="2001" w:type="dxa"/>
            <w:vAlign w:val="center"/>
          </w:tcPr>
          <w:p w14:paraId="5B69EE39" w14:textId="4EC10A34" w:rsidR="00AB1FD5" w:rsidRPr="00644D4C" w:rsidRDefault="00AB1FD5" w:rsidP="00AB1FD5">
            <w:pPr>
              <w:spacing w:before="120" w:after="120"/>
              <w:jc w:val="center"/>
              <w:rPr>
                <w:rFonts w:cstheme="minorHAnsi"/>
                <w:sz w:val="20"/>
                <w:szCs w:val="20"/>
              </w:rPr>
            </w:pPr>
            <w:r w:rsidRPr="00644D4C">
              <w:rPr>
                <w:rFonts w:cstheme="minorHAnsi"/>
                <w:b/>
                <w:bCs/>
                <w:sz w:val="20"/>
                <w:szCs w:val="20"/>
              </w:rPr>
              <w:t>Uzasadnienie</w:t>
            </w:r>
          </w:p>
        </w:tc>
        <w:tc>
          <w:tcPr>
            <w:tcW w:w="5350" w:type="dxa"/>
            <w:vAlign w:val="center"/>
          </w:tcPr>
          <w:p w14:paraId="09E4D561" w14:textId="5604BA06" w:rsidR="00AB1FD5" w:rsidRPr="00644D4C" w:rsidRDefault="00AB1FD5" w:rsidP="00644D4C">
            <w:pPr>
              <w:jc w:val="both"/>
              <w:rPr>
                <w:rFonts w:eastAsia="Times New Roman" w:cstheme="minorHAnsi"/>
                <w:sz w:val="20"/>
                <w:szCs w:val="20"/>
                <w:lang w:eastAsia="pl-PL"/>
              </w:rPr>
            </w:pPr>
            <w:r w:rsidRPr="00644D4C">
              <w:rPr>
                <w:rFonts w:cstheme="minorHAnsi"/>
                <w:sz w:val="20"/>
                <w:szCs w:val="20"/>
              </w:rPr>
              <w:t>Treść ostatniego zdania w akapicie czwartym na stronie 31 uzasadnienia i w akapicie pierwszym na stronie 46 OSR jest niezrozumiała. Wskazano w nim, że "konieczność zmiany art. 11 ust. 5 powstała z uwagi na wykreślenie w projekcie obowiązku składania przez beneficjentów oświadczeń dotyczących ich stanu majątkowego", tj. uchylenia ust. 2-6 w art. 4, które przewidywały oświadczenie, że osoba uprawniona nie jest w stanie ponieść kosztów odpłatnej pomocy prawnej. Nie wiadomo w jaki sposób oświadczenie osoby uprawnionej, że jest świadoma uzyskania nieodpłatnej pomocy prawnej od osoby niebędącej adwokatem, radcą prawnym albo doradcą podatkowym ma "rekompensować" wykreślenie z ustawy oświadczenia o stanie majątkowym. Uzasadnienie w tym zakresie wymaga rozwinięcia.</w:t>
            </w:r>
          </w:p>
        </w:tc>
        <w:tc>
          <w:tcPr>
            <w:tcW w:w="3703" w:type="dxa"/>
          </w:tcPr>
          <w:p w14:paraId="468034D2" w14:textId="77777777" w:rsidR="00F2101A" w:rsidRDefault="00AB1FD5" w:rsidP="00F2101A">
            <w:pPr>
              <w:snapToGrid w:val="0"/>
              <w:jc w:val="both"/>
              <w:rPr>
                <w:rFonts w:cstheme="minorHAnsi"/>
                <w:b/>
                <w:bCs/>
                <w:sz w:val="20"/>
                <w:szCs w:val="20"/>
              </w:rPr>
            </w:pPr>
            <w:r w:rsidRPr="00644D4C">
              <w:rPr>
                <w:rFonts w:cstheme="minorHAnsi"/>
                <w:b/>
                <w:bCs/>
                <w:sz w:val="20"/>
                <w:szCs w:val="20"/>
              </w:rPr>
              <w:t>Uwaga nieuwzględniona.</w:t>
            </w:r>
          </w:p>
          <w:p w14:paraId="2ADAA775" w14:textId="5C3709CF" w:rsidR="00AB1FD5" w:rsidRPr="00644D4C" w:rsidRDefault="00AB1FD5" w:rsidP="00F2101A">
            <w:pPr>
              <w:snapToGrid w:val="0"/>
              <w:jc w:val="both"/>
              <w:rPr>
                <w:rFonts w:eastAsia="Times New Roman" w:cstheme="minorHAnsi"/>
                <w:sz w:val="20"/>
                <w:szCs w:val="20"/>
                <w:lang w:eastAsia="pl-PL"/>
              </w:rPr>
            </w:pPr>
            <w:r w:rsidRPr="00644D4C">
              <w:rPr>
                <w:rFonts w:cstheme="minorHAnsi"/>
                <w:sz w:val="20"/>
                <w:szCs w:val="20"/>
              </w:rPr>
              <w:t>Wbrew uwadze w uzasadnieniu projektu nie wskazano, że</w:t>
            </w:r>
            <w:r w:rsidRPr="00644D4C">
              <w:rPr>
                <w:rFonts w:cstheme="minorHAnsi"/>
                <w:b/>
                <w:bCs/>
                <w:sz w:val="20"/>
                <w:szCs w:val="20"/>
              </w:rPr>
              <w:t xml:space="preserve"> </w:t>
            </w:r>
            <w:r w:rsidRPr="00644D4C">
              <w:rPr>
                <w:rFonts w:cstheme="minorHAnsi"/>
                <w:sz w:val="20"/>
                <w:szCs w:val="20"/>
              </w:rPr>
              <w:t xml:space="preserve">oświadczenie osoby uprawnionej, że jest świadoma uzyskania nieodpłatnej pomocy prawnej od osoby niebędącej adwokatem, radcą prawnym albo doradcą podatkowym ma </w:t>
            </w:r>
            <w:r w:rsidR="008D5299">
              <w:rPr>
                <w:rFonts w:cstheme="minorHAnsi"/>
                <w:sz w:val="20"/>
                <w:szCs w:val="20"/>
              </w:rPr>
              <w:t>„</w:t>
            </w:r>
            <w:r w:rsidRPr="00644D4C">
              <w:rPr>
                <w:rFonts w:cstheme="minorHAnsi"/>
                <w:sz w:val="20"/>
                <w:szCs w:val="20"/>
              </w:rPr>
              <w:t>rekompensować</w:t>
            </w:r>
            <w:r w:rsidR="00F2101A">
              <w:rPr>
                <w:rFonts w:cstheme="minorHAnsi"/>
                <w:sz w:val="20"/>
                <w:szCs w:val="20"/>
              </w:rPr>
              <w:t>”</w:t>
            </w:r>
            <w:r w:rsidRPr="00644D4C">
              <w:rPr>
                <w:rFonts w:cstheme="minorHAnsi"/>
                <w:sz w:val="20"/>
                <w:szCs w:val="20"/>
              </w:rPr>
              <w:t xml:space="preserve"> wykreślenie z ustawy oświadczenia o stanie majątkowym. W związku z usunięciem ustawy regulacji dotyczących przechowywania oświadczeń z art. 4 nie było możliwe przywołanie tej regulacji do zastosowania w odniesieniu do innej kategorii oświadczeń, lecz konieczne było zaproponowanie przepisu z samodzielną podstawą prawną w tym zakresie.</w:t>
            </w:r>
          </w:p>
        </w:tc>
      </w:tr>
      <w:tr w:rsidR="00AB1FD5" w:rsidRPr="00644D4C" w14:paraId="62827CBE" w14:textId="77777777" w:rsidTr="00F2101A">
        <w:trPr>
          <w:jc w:val="center"/>
        </w:trPr>
        <w:tc>
          <w:tcPr>
            <w:tcW w:w="13994" w:type="dxa"/>
            <w:gridSpan w:val="5"/>
            <w:shd w:val="clear" w:color="auto" w:fill="A6A6A6" w:themeFill="background1" w:themeFillShade="A6"/>
          </w:tcPr>
          <w:p w14:paraId="6DD01354" w14:textId="00E3688E" w:rsidR="00AB1FD5" w:rsidRPr="00644D4C" w:rsidRDefault="00AB1FD5" w:rsidP="00AB1FD5">
            <w:pPr>
              <w:spacing w:before="120" w:after="120"/>
              <w:jc w:val="center"/>
              <w:rPr>
                <w:rFonts w:eastAsia="Times New Roman" w:cstheme="minorHAnsi"/>
                <w:sz w:val="20"/>
                <w:szCs w:val="20"/>
                <w:lang w:eastAsia="pl-PL"/>
              </w:rPr>
            </w:pPr>
            <w:r w:rsidRPr="00644D4C">
              <w:rPr>
                <w:rFonts w:cstheme="minorHAnsi"/>
                <w:b/>
                <w:bCs/>
                <w:color w:val="000000" w:themeColor="text1"/>
                <w:sz w:val="20"/>
                <w:szCs w:val="20"/>
              </w:rPr>
              <w:lastRenderedPageBreak/>
              <w:t>Uwagi do Oceny Skutków Regulacji</w:t>
            </w:r>
          </w:p>
        </w:tc>
      </w:tr>
      <w:tr w:rsidR="00AB1FD5" w:rsidRPr="00644D4C" w14:paraId="70AF4D21" w14:textId="77777777" w:rsidTr="00F2101A">
        <w:tblPrEx>
          <w:jc w:val="left"/>
        </w:tblPrEx>
        <w:tc>
          <w:tcPr>
            <w:tcW w:w="1806" w:type="dxa"/>
          </w:tcPr>
          <w:p w14:paraId="2A511012" w14:textId="182C5783" w:rsidR="00AB1FD5" w:rsidRPr="00644D4C" w:rsidRDefault="00AB1FD5" w:rsidP="00F2101A">
            <w:pPr>
              <w:spacing w:before="120"/>
              <w:jc w:val="center"/>
              <w:rPr>
                <w:rFonts w:cstheme="minorHAnsi"/>
                <w:b/>
                <w:sz w:val="20"/>
                <w:szCs w:val="20"/>
              </w:rPr>
            </w:pPr>
            <w:r w:rsidRPr="00644D4C">
              <w:rPr>
                <w:rFonts w:cstheme="minorHAnsi"/>
                <w:b/>
                <w:sz w:val="20"/>
                <w:szCs w:val="20"/>
              </w:rPr>
              <w:t>1.</w:t>
            </w:r>
          </w:p>
        </w:tc>
        <w:tc>
          <w:tcPr>
            <w:tcW w:w="1134" w:type="dxa"/>
          </w:tcPr>
          <w:p w14:paraId="02E25544" w14:textId="7D8F4660" w:rsidR="00AB1FD5" w:rsidRPr="00644D4C" w:rsidRDefault="00AB1FD5" w:rsidP="00AB1FD5">
            <w:pPr>
              <w:spacing w:before="120" w:after="120"/>
              <w:jc w:val="center"/>
              <w:rPr>
                <w:rFonts w:cstheme="minorHAnsi"/>
                <w:sz w:val="20"/>
                <w:szCs w:val="20"/>
              </w:rPr>
            </w:pPr>
            <w:r w:rsidRPr="00644D4C">
              <w:rPr>
                <w:rFonts w:cstheme="minorHAnsi"/>
                <w:sz w:val="20"/>
                <w:szCs w:val="20"/>
              </w:rPr>
              <w:t>Rządowe Centrum Legislacji</w:t>
            </w:r>
          </w:p>
        </w:tc>
        <w:tc>
          <w:tcPr>
            <w:tcW w:w="2001" w:type="dxa"/>
          </w:tcPr>
          <w:p w14:paraId="3FEDB332" w14:textId="0BFC6F83" w:rsidR="00AB1FD5" w:rsidRPr="00644D4C" w:rsidRDefault="00AB1FD5" w:rsidP="00AB1FD5">
            <w:pPr>
              <w:spacing w:before="120" w:after="120"/>
              <w:jc w:val="center"/>
              <w:rPr>
                <w:rFonts w:cstheme="minorHAnsi"/>
                <w:sz w:val="20"/>
                <w:szCs w:val="20"/>
              </w:rPr>
            </w:pPr>
            <w:r w:rsidRPr="00644D4C">
              <w:rPr>
                <w:rFonts w:cstheme="minorHAnsi"/>
                <w:b/>
                <w:bCs/>
                <w:sz w:val="20"/>
                <w:szCs w:val="20"/>
              </w:rPr>
              <w:t>Pkt. 9 OSR</w:t>
            </w:r>
          </w:p>
        </w:tc>
        <w:tc>
          <w:tcPr>
            <w:tcW w:w="5350" w:type="dxa"/>
          </w:tcPr>
          <w:p w14:paraId="1D00666D" w14:textId="69C601E0" w:rsidR="00AB1FD5" w:rsidRPr="00644D4C" w:rsidRDefault="00AB1FD5" w:rsidP="00644D4C">
            <w:pPr>
              <w:jc w:val="both"/>
              <w:rPr>
                <w:rFonts w:eastAsia="Times New Roman" w:cstheme="minorHAnsi"/>
                <w:sz w:val="20"/>
                <w:szCs w:val="20"/>
                <w:lang w:eastAsia="pl-PL"/>
              </w:rPr>
            </w:pPr>
            <w:r w:rsidRPr="00644D4C">
              <w:rPr>
                <w:rFonts w:cstheme="minorHAnsi"/>
                <w:sz w:val="20"/>
                <w:szCs w:val="20"/>
                <w:lang w:eastAsia="pl-PL"/>
              </w:rPr>
              <w:t>Wskazano, iż projekt nie będzie miał wpływu na rynek pracy, podczas gdy projekt nakłada nowe obowiązki na osoby udzielające nieodpłatnej pomocy prawnej lub świadczące nieodpłatne poradnictwo obywatelskie, co wymaga opisania w OSR.</w:t>
            </w:r>
          </w:p>
        </w:tc>
        <w:tc>
          <w:tcPr>
            <w:tcW w:w="3703" w:type="dxa"/>
          </w:tcPr>
          <w:p w14:paraId="61D9ED37" w14:textId="77777777" w:rsidR="00F2101A" w:rsidRDefault="00AB1FD5" w:rsidP="00F2101A">
            <w:pPr>
              <w:snapToGrid w:val="0"/>
              <w:contextualSpacing/>
              <w:jc w:val="both"/>
              <w:rPr>
                <w:rFonts w:cstheme="minorHAnsi"/>
                <w:b/>
                <w:bCs/>
                <w:sz w:val="20"/>
                <w:szCs w:val="20"/>
              </w:rPr>
            </w:pPr>
            <w:r w:rsidRPr="00644D4C">
              <w:rPr>
                <w:rFonts w:cstheme="minorHAnsi"/>
                <w:b/>
                <w:bCs/>
                <w:sz w:val="20"/>
                <w:szCs w:val="20"/>
              </w:rPr>
              <w:t xml:space="preserve">Uwaga nieuwzględniona. </w:t>
            </w:r>
          </w:p>
          <w:p w14:paraId="3366253C" w14:textId="5E1EE23C" w:rsidR="00AB1FD5" w:rsidRPr="00F2101A" w:rsidRDefault="00AB1FD5" w:rsidP="00F2101A">
            <w:pPr>
              <w:snapToGrid w:val="0"/>
              <w:contextualSpacing/>
              <w:jc w:val="both"/>
              <w:rPr>
                <w:rFonts w:cstheme="minorHAnsi"/>
                <w:b/>
                <w:bCs/>
                <w:sz w:val="20"/>
                <w:szCs w:val="20"/>
              </w:rPr>
            </w:pPr>
            <w:r w:rsidRPr="00644D4C">
              <w:rPr>
                <w:rFonts w:cstheme="minorHAnsi"/>
                <w:sz w:val="20"/>
                <w:szCs w:val="20"/>
              </w:rPr>
              <w:t>Wykonawcy pracują na podstawie umów cywilnoprawnych, część z nich jest przedsiębiorcami. Nie są pracownikami, więc projekt nie wpływa na rynek pracy. Nawet przy szerokim ujęciu rynku pracy to jest obejmującym umowy cywilne – nowe obowiązki nie są na tyle poważne be realnie wpłynęły na ten rynek, są to głownie podstawowe obowiązki organizacyjno</w:t>
            </w:r>
            <w:r w:rsidR="00644D4C">
              <w:rPr>
                <w:rFonts w:cstheme="minorHAnsi"/>
                <w:sz w:val="20"/>
                <w:szCs w:val="20"/>
              </w:rPr>
              <w:t>-</w:t>
            </w:r>
            <w:r w:rsidRPr="00644D4C">
              <w:rPr>
                <w:rFonts w:cstheme="minorHAnsi"/>
                <w:sz w:val="20"/>
                <w:szCs w:val="20"/>
              </w:rPr>
              <w:t>techniczne, które i tak wynikają ze specyfiki pracy w systemie teleinformatycznym.</w:t>
            </w:r>
          </w:p>
        </w:tc>
      </w:tr>
    </w:tbl>
    <w:p w14:paraId="3263BA22" w14:textId="77777777" w:rsidR="009A3389" w:rsidRPr="00644D4C" w:rsidRDefault="009A3389" w:rsidP="00E738A5">
      <w:pPr>
        <w:spacing w:line="240" w:lineRule="auto"/>
        <w:rPr>
          <w:rFonts w:cstheme="minorHAnsi"/>
          <w:sz w:val="20"/>
          <w:szCs w:val="20"/>
        </w:rPr>
      </w:pPr>
    </w:p>
    <w:sectPr w:rsidR="009A3389" w:rsidRPr="00644D4C" w:rsidSect="001F3A0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BD77A" w14:textId="77777777" w:rsidR="00501FC6" w:rsidRDefault="00501FC6" w:rsidP="00735AA5">
      <w:pPr>
        <w:spacing w:after="0" w:line="240" w:lineRule="auto"/>
      </w:pPr>
      <w:r>
        <w:separator/>
      </w:r>
    </w:p>
  </w:endnote>
  <w:endnote w:type="continuationSeparator" w:id="0">
    <w:p w14:paraId="56281EB8" w14:textId="77777777" w:rsidR="00501FC6" w:rsidRDefault="00501FC6"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rPr>
      <w:id w:val="451909213"/>
      <w:docPartObj>
        <w:docPartGallery w:val="Page Numbers (Bottom of Page)"/>
        <w:docPartUnique/>
      </w:docPartObj>
    </w:sdtPr>
    <w:sdtContent>
      <w:p w14:paraId="3D1313F4" w14:textId="77777777" w:rsidR="000B346A" w:rsidRPr="000B346A" w:rsidRDefault="00E738A5">
        <w:pPr>
          <w:pStyle w:val="Stopka"/>
          <w:jc w:val="right"/>
          <w:rPr>
            <w:rFonts w:ascii="Arial" w:hAnsi="Arial" w:cs="Arial"/>
            <w:sz w:val="18"/>
          </w:rPr>
        </w:pPr>
        <w:r>
          <w:rPr>
            <w:rFonts w:ascii="Arial" w:hAnsi="Arial" w:cs="Arial"/>
            <w:sz w:val="18"/>
          </w:rPr>
          <w:t>S</w:t>
        </w:r>
        <w:r w:rsidR="000B346A" w:rsidRPr="000B346A">
          <w:rPr>
            <w:rFonts w:ascii="Arial" w:hAnsi="Arial" w:cs="Arial"/>
            <w:sz w:val="18"/>
          </w:rPr>
          <w:t xml:space="preserve">trona | </w:t>
        </w:r>
        <w:r w:rsidR="000B346A" w:rsidRPr="000B346A">
          <w:rPr>
            <w:rFonts w:ascii="Arial" w:hAnsi="Arial" w:cs="Arial"/>
            <w:sz w:val="18"/>
          </w:rPr>
          <w:fldChar w:fldCharType="begin"/>
        </w:r>
        <w:r w:rsidR="000B346A" w:rsidRPr="000B346A">
          <w:rPr>
            <w:rFonts w:ascii="Arial" w:hAnsi="Arial" w:cs="Arial"/>
            <w:sz w:val="18"/>
          </w:rPr>
          <w:instrText>PAGE   \* MERGEFORMAT</w:instrText>
        </w:r>
        <w:r w:rsidR="000B346A" w:rsidRPr="000B346A">
          <w:rPr>
            <w:rFonts w:ascii="Arial" w:hAnsi="Arial" w:cs="Arial"/>
            <w:sz w:val="18"/>
          </w:rPr>
          <w:fldChar w:fldCharType="separate"/>
        </w:r>
        <w:r w:rsidR="00E23A7D">
          <w:rPr>
            <w:rFonts w:ascii="Arial" w:hAnsi="Arial" w:cs="Arial"/>
            <w:noProof/>
            <w:sz w:val="18"/>
          </w:rPr>
          <w:t>1</w:t>
        </w:r>
        <w:r w:rsidR="000B346A" w:rsidRPr="000B346A">
          <w:rPr>
            <w:rFonts w:ascii="Arial" w:hAnsi="Arial" w:cs="Arial"/>
            <w:sz w:val="18"/>
          </w:rPr>
          <w:fldChar w:fldCharType="end"/>
        </w:r>
        <w:r w:rsidR="000B346A" w:rsidRPr="000B346A">
          <w:rPr>
            <w:rFonts w:ascii="Arial" w:hAnsi="Arial" w:cs="Arial"/>
            <w:sz w:val="18"/>
          </w:rPr>
          <w:t xml:space="preserve"> </w:t>
        </w:r>
      </w:p>
    </w:sdtContent>
  </w:sdt>
  <w:p w14:paraId="1FF13A2E" w14:textId="77777777" w:rsidR="00735AA5" w:rsidRDefault="00735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028FA" w14:textId="77777777" w:rsidR="00501FC6" w:rsidRDefault="00501FC6" w:rsidP="00735AA5">
      <w:pPr>
        <w:spacing w:after="0" w:line="240" w:lineRule="auto"/>
      </w:pPr>
      <w:r>
        <w:separator/>
      </w:r>
    </w:p>
  </w:footnote>
  <w:footnote w:type="continuationSeparator" w:id="0">
    <w:p w14:paraId="3EAF3FB3" w14:textId="77777777" w:rsidR="00501FC6" w:rsidRDefault="00501FC6" w:rsidP="00735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3" w15:restartNumberingAfterBreak="0">
    <w:nsid w:val="102E7131"/>
    <w:multiLevelType w:val="hybridMultilevel"/>
    <w:tmpl w:val="BAF4D54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 w15:restartNumberingAfterBreak="0">
    <w:nsid w:val="15772F5C"/>
    <w:multiLevelType w:val="hybridMultilevel"/>
    <w:tmpl w:val="62AA7BF8"/>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5"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6"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7" w15:restartNumberingAfterBreak="0">
    <w:nsid w:val="2035363E"/>
    <w:multiLevelType w:val="hybridMultilevel"/>
    <w:tmpl w:val="BAF4D54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 w15:restartNumberingAfterBreak="0">
    <w:nsid w:val="331572DA"/>
    <w:multiLevelType w:val="hybridMultilevel"/>
    <w:tmpl w:val="BDA056DE"/>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9" w15:restartNumberingAfterBreak="0">
    <w:nsid w:val="416D46F4"/>
    <w:multiLevelType w:val="hybridMultilevel"/>
    <w:tmpl w:val="91BEBE3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0" w15:restartNumberingAfterBreak="0">
    <w:nsid w:val="42F74FD3"/>
    <w:multiLevelType w:val="hybridMultilevel"/>
    <w:tmpl w:val="BAF4D54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1" w15:restartNumberingAfterBreak="0">
    <w:nsid w:val="49A45834"/>
    <w:multiLevelType w:val="multilevel"/>
    <w:tmpl w:val="082E21AE"/>
    <w:lvl w:ilvl="0">
      <w:start w:val="1"/>
      <w:numFmt w:val="decimal"/>
      <w:lvlText w:val="%1)"/>
      <w:lvlJc w:val="left"/>
      <w:pPr>
        <w:ind w:left="36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2" w15:restartNumberingAfterBreak="0">
    <w:nsid w:val="4C3D7A92"/>
    <w:multiLevelType w:val="hybridMultilevel"/>
    <w:tmpl w:val="A7086286"/>
    <w:lvl w:ilvl="0" w:tplc="81422714">
      <w:start w:val="1"/>
      <w:numFmt w:val="decimal"/>
      <w:lvlText w:val="%1)"/>
      <w:lvlJc w:val="left"/>
      <w:pPr>
        <w:ind w:left="870" w:hanging="360"/>
      </w:pPr>
      <w:rPr>
        <w:rFonts w:cs="Times New Roman"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3" w15:restartNumberingAfterBreak="0">
    <w:nsid w:val="4D2C5E34"/>
    <w:multiLevelType w:val="hybridMultilevel"/>
    <w:tmpl w:val="EE0A94B4"/>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4" w15:restartNumberingAfterBreak="0">
    <w:nsid w:val="4EC052B0"/>
    <w:multiLevelType w:val="hybridMultilevel"/>
    <w:tmpl w:val="1F14AFD0"/>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5" w15:restartNumberingAfterBreak="0">
    <w:nsid w:val="53DD0B2E"/>
    <w:multiLevelType w:val="hybridMultilevel"/>
    <w:tmpl w:val="6C7EC008"/>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A800F7F"/>
    <w:multiLevelType w:val="hybridMultilevel"/>
    <w:tmpl w:val="EE0A94B4"/>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7"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18" w15:restartNumberingAfterBreak="0">
    <w:nsid w:val="703E54E6"/>
    <w:multiLevelType w:val="hybridMultilevel"/>
    <w:tmpl w:val="1F14AFD0"/>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9"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20"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1" w15:restartNumberingAfterBreak="0">
    <w:nsid w:val="7B47264F"/>
    <w:multiLevelType w:val="hybridMultilevel"/>
    <w:tmpl w:val="222087AA"/>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C81B9E"/>
    <w:multiLevelType w:val="hybridMultilevel"/>
    <w:tmpl w:val="DAFC9EEA"/>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num w:numId="1" w16cid:durableId="1263294299">
    <w:abstractNumId w:val="5"/>
  </w:num>
  <w:num w:numId="2" w16cid:durableId="1928346674">
    <w:abstractNumId w:val="6"/>
  </w:num>
  <w:num w:numId="3" w16cid:durableId="715467715">
    <w:abstractNumId w:val="19"/>
  </w:num>
  <w:num w:numId="4" w16cid:durableId="473527055">
    <w:abstractNumId w:val="2"/>
  </w:num>
  <w:num w:numId="5" w16cid:durableId="307560840">
    <w:abstractNumId w:val="20"/>
  </w:num>
  <w:num w:numId="6" w16cid:durableId="341318090">
    <w:abstractNumId w:val="17"/>
  </w:num>
  <w:num w:numId="7" w16cid:durableId="669019641">
    <w:abstractNumId w:val="0"/>
  </w:num>
  <w:num w:numId="8" w16cid:durableId="160313311">
    <w:abstractNumId w:val="1"/>
  </w:num>
  <w:num w:numId="9" w16cid:durableId="1328438489">
    <w:abstractNumId w:val="15"/>
  </w:num>
  <w:num w:numId="10" w16cid:durableId="1168520527">
    <w:abstractNumId w:val="8"/>
  </w:num>
  <w:num w:numId="11" w16cid:durableId="1458983259">
    <w:abstractNumId w:val="22"/>
  </w:num>
  <w:num w:numId="12" w16cid:durableId="101076855">
    <w:abstractNumId w:val="21"/>
  </w:num>
  <w:num w:numId="13" w16cid:durableId="1419522992">
    <w:abstractNumId w:val="16"/>
  </w:num>
  <w:num w:numId="14" w16cid:durableId="694961097">
    <w:abstractNumId w:val="13"/>
  </w:num>
  <w:num w:numId="15" w16cid:durableId="319777650">
    <w:abstractNumId w:val="9"/>
  </w:num>
  <w:num w:numId="16" w16cid:durableId="74401415">
    <w:abstractNumId w:val="4"/>
  </w:num>
  <w:num w:numId="17" w16cid:durableId="842747190">
    <w:abstractNumId w:val="11"/>
  </w:num>
  <w:num w:numId="18" w16cid:durableId="2121607385">
    <w:abstractNumId w:val="12"/>
  </w:num>
  <w:num w:numId="19" w16cid:durableId="1420758002">
    <w:abstractNumId w:val="10"/>
  </w:num>
  <w:num w:numId="20" w16cid:durableId="1080906669">
    <w:abstractNumId w:val="7"/>
  </w:num>
  <w:num w:numId="21" w16cid:durableId="2006977038">
    <w:abstractNumId w:val="3"/>
  </w:num>
  <w:num w:numId="22" w16cid:durableId="72241673">
    <w:abstractNumId w:val="18"/>
  </w:num>
  <w:num w:numId="23" w16cid:durableId="7843493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002F3"/>
    <w:rsid w:val="0001501B"/>
    <w:rsid w:val="000153D6"/>
    <w:rsid w:val="000161F5"/>
    <w:rsid w:val="00017F99"/>
    <w:rsid w:val="0002291B"/>
    <w:rsid w:val="000361E2"/>
    <w:rsid w:val="000566FC"/>
    <w:rsid w:val="000662BB"/>
    <w:rsid w:val="00084004"/>
    <w:rsid w:val="00084817"/>
    <w:rsid w:val="00084A2A"/>
    <w:rsid w:val="00085E2E"/>
    <w:rsid w:val="000911E2"/>
    <w:rsid w:val="00091F2A"/>
    <w:rsid w:val="000A32E5"/>
    <w:rsid w:val="000B1157"/>
    <w:rsid w:val="000B1A16"/>
    <w:rsid w:val="000B346A"/>
    <w:rsid w:val="000C00BA"/>
    <w:rsid w:val="000C2E71"/>
    <w:rsid w:val="000D3780"/>
    <w:rsid w:val="000D5B0B"/>
    <w:rsid w:val="000F60F2"/>
    <w:rsid w:val="001146C0"/>
    <w:rsid w:val="001361B5"/>
    <w:rsid w:val="00136551"/>
    <w:rsid w:val="00140448"/>
    <w:rsid w:val="00141978"/>
    <w:rsid w:val="00151C2E"/>
    <w:rsid w:val="00177EC3"/>
    <w:rsid w:val="00186B6F"/>
    <w:rsid w:val="00187E3D"/>
    <w:rsid w:val="00190C60"/>
    <w:rsid w:val="0019322F"/>
    <w:rsid w:val="00193AB3"/>
    <w:rsid w:val="001E01AE"/>
    <w:rsid w:val="001F0431"/>
    <w:rsid w:val="001F3A0F"/>
    <w:rsid w:val="001F4958"/>
    <w:rsid w:val="001F51B9"/>
    <w:rsid w:val="0020383B"/>
    <w:rsid w:val="00211E49"/>
    <w:rsid w:val="00242233"/>
    <w:rsid w:val="0024476B"/>
    <w:rsid w:val="00252F32"/>
    <w:rsid w:val="002662EA"/>
    <w:rsid w:val="00271B94"/>
    <w:rsid w:val="0027239E"/>
    <w:rsid w:val="002724CC"/>
    <w:rsid w:val="0028475B"/>
    <w:rsid w:val="002936DB"/>
    <w:rsid w:val="002968CB"/>
    <w:rsid w:val="002A11F8"/>
    <w:rsid w:val="002A3F06"/>
    <w:rsid w:val="002A6ED8"/>
    <w:rsid w:val="002C46ED"/>
    <w:rsid w:val="002C53B8"/>
    <w:rsid w:val="002E0918"/>
    <w:rsid w:val="002F1131"/>
    <w:rsid w:val="002F302C"/>
    <w:rsid w:val="00322BC5"/>
    <w:rsid w:val="003243F9"/>
    <w:rsid w:val="0033797A"/>
    <w:rsid w:val="003462B1"/>
    <w:rsid w:val="003514BB"/>
    <w:rsid w:val="00353E10"/>
    <w:rsid w:val="003565A1"/>
    <w:rsid w:val="003706A6"/>
    <w:rsid w:val="003A430E"/>
    <w:rsid w:val="003C1000"/>
    <w:rsid w:val="003D1CAB"/>
    <w:rsid w:val="003D2B9E"/>
    <w:rsid w:val="003D7D21"/>
    <w:rsid w:val="003E5D74"/>
    <w:rsid w:val="003F0432"/>
    <w:rsid w:val="003F148E"/>
    <w:rsid w:val="003F2ED2"/>
    <w:rsid w:val="00400E97"/>
    <w:rsid w:val="00414EA2"/>
    <w:rsid w:val="00443077"/>
    <w:rsid w:val="00452E52"/>
    <w:rsid w:val="004577CA"/>
    <w:rsid w:val="00462F0E"/>
    <w:rsid w:val="004977F7"/>
    <w:rsid w:val="004A28E0"/>
    <w:rsid w:val="004A460D"/>
    <w:rsid w:val="004B1553"/>
    <w:rsid w:val="004B1644"/>
    <w:rsid w:val="004B316A"/>
    <w:rsid w:val="004D2566"/>
    <w:rsid w:val="004D54EF"/>
    <w:rsid w:val="004E0816"/>
    <w:rsid w:val="004E7994"/>
    <w:rsid w:val="004F5F18"/>
    <w:rsid w:val="0050045E"/>
    <w:rsid w:val="00501FC6"/>
    <w:rsid w:val="005040BC"/>
    <w:rsid w:val="005054C0"/>
    <w:rsid w:val="0051434B"/>
    <w:rsid w:val="00524449"/>
    <w:rsid w:val="00537F4C"/>
    <w:rsid w:val="005418E2"/>
    <w:rsid w:val="00545CD3"/>
    <w:rsid w:val="005471C2"/>
    <w:rsid w:val="00550EAD"/>
    <w:rsid w:val="00555265"/>
    <w:rsid w:val="0057151E"/>
    <w:rsid w:val="005756BE"/>
    <w:rsid w:val="00576D40"/>
    <w:rsid w:val="0058530C"/>
    <w:rsid w:val="00592953"/>
    <w:rsid w:val="005A7AD5"/>
    <w:rsid w:val="005C23F7"/>
    <w:rsid w:val="005C644D"/>
    <w:rsid w:val="005D442D"/>
    <w:rsid w:val="00602CEE"/>
    <w:rsid w:val="00611583"/>
    <w:rsid w:val="006156DE"/>
    <w:rsid w:val="00621334"/>
    <w:rsid w:val="006354CF"/>
    <w:rsid w:val="006375BD"/>
    <w:rsid w:val="00644344"/>
    <w:rsid w:val="00644D4C"/>
    <w:rsid w:val="00650E16"/>
    <w:rsid w:val="006522CE"/>
    <w:rsid w:val="0065408E"/>
    <w:rsid w:val="006669AD"/>
    <w:rsid w:val="0067271E"/>
    <w:rsid w:val="00674BCF"/>
    <w:rsid w:val="006771BA"/>
    <w:rsid w:val="00682C1C"/>
    <w:rsid w:val="0069368F"/>
    <w:rsid w:val="006C2BC9"/>
    <w:rsid w:val="006C42B2"/>
    <w:rsid w:val="006C7994"/>
    <w:rsid w:val="006D0AE4"/>
    <w:rsid w:val="006E3E8F"/>
    <w:rsid w:val="006F0D7B"/>
    <w:rsid w:val="006F1155"/>
    <w:rsid w:val="006F6137"/>
    <w:rsid w:val="007018E8"/>
    <w:rsid w:val="00723FD8"/>
    <w:rsid w:val="00730C35"/>
    <w:rsid w:val="00735AA5"/>
    <w:rsid w:val="00741A58"/>
    <w:rsid w:val="00742660"/>
    <w:rsid w:val="00751B0F"/>
    <w:rsid w:val="00756A51"/>
    <w:rsid w:val="0076077D"/>
    <w:rsid w:val="007653FF"/>
    <w:rsid w:val="00766F26"/>
    <w:rsid w:val="00766F97"/>
    <w:rsid w:val="00791FE5"/>
    <w:rsid w:val="007A627A"/>
    <w:rsid w:val="007A7EE2"/>
    <w:rsid w:val="007B1BB1"/>
    <w:rsid w:val="007B56F4"/>
    <w:rsid w:val="007C2560"/>
    <w:rsid w:val="007D0B00"/>
    <w:rsid w:val="007E4CBE"/>
    <w:rsid w:val="007F39C0"/>
    <w:rsid w:val="00814CE9"/>
    <w:rsid w:val="008203CF"/>
    <w:rsid w:val="0082711A"/>
    <w:rsid w:val="00830132"/>
    <w:rsid w:val="00831113"/>
    <w:rsid w:val="0083519A"/>
    <w:rsid w:val="00852D75"/>
    <w:rsid w:val="008531D9"/>
    <w:rsid w:val="00865AF4"/>
    <w:rsid w:val="008842F2"/>
    <w:rsid w:val="008911D0"/>
    <w:rsid w:val="008D5299"/>
    <w:rsid w:val="008E3179"/>
    <w:rsid w:val="00925F56"/>
    <w:rsid w:val="00933852"/>
    <w:rsid w:val="00941156"/>
    <w:rsid w:val="009532CB"/>
    <w:rsid w:val="00954430"/>
    <w:rsid w:val="00954DA6"/>
    <w:rsid w:val="00957335"/>
    <w:rsid w:val="00963B6A"/>
    <w:rsid w:val="009672B1"/>
    <w:rsid w:val="009743F9"/>
    <w:rsid w:val="009768E8"/>
    <w:rsid w:val="00983A14"/>
    <w:rsid w:val="009923E7"/>
    <w:rsid w:val="00993C52"/>
    <w:rsid w:val="009A3389"/>
    <w:rsid w:val="009C39F6"/>
    <w:rsid w:val="009C45A9"/>
    <w:rsid w:val="009D02A7"/>
    <w:rsid w:val="009D18BA"/>
    <w:rsid w:val="009D30E0"/>
    <w:rsid w:val="009D37DC"/>
    <w:rsid w:val="009D4953"/>
    <w:rsid w:val="00A11E28"/>
    <w:rsid w:val="00A1326C"/>
    <w:rsid w:val="00A3318A"/>
    <w:rsid w:val="00A407A4"/>
    <w:rsid w:val="00A53CBC"/>
    <w:rsid w:val="00A61639"/>
    <w:rsid w:val="00A64143"/>
    <w:rsid w:val="00A65542"/>
    <w:rsid w:val="00A92454"/>
    <w:rsid w:val="00AA3456"/>
    <w:rsid w:val="00AB1FD5"/>
    <w:rsid w:val="00AC0365"/>
    <w:rsid w:val="00AD2E3B"/>
    <w:rsid w:val="00AF2DCB"/>
    <w:rsid w:val="00AF5CDF"/>
    <w:rsid w:val="00B0068C"/>
    <w:rsid w:val="00B03A96"/>
    <w:rsid w:val="00B0487A"/>
    <w:rsid w:val="00B15F59"/>
    <w:rsid w:val="00B165E5"/>
    <w:rsid w:val="00B241C8"/>
    <w:rsid w:val="00B3322F"/>
    <w:rsid w:val="00B4688A"/>
    <w:rsid w:val="00B54306"/>
    <w:rsid w:val="00B6038D"/>
    <w:rsid w:val="00B72216"/>
    <w:rsid w:val="00B809BB"/>
    <w:rsid w:val="00B919AF"/>
    <w:rsid w:val="00B936C2"/>
    <w:rsid w:val="00BA173B"/>
    <w:rsid w:val="00BA785D"/>
    <w:rsid w:val="00BB2FF9"/>
    <w:rsid w:val="00BD1AB7"/>
    <w:rsid w:val="00BD6AA6"/>
    <w:rsid w:val="00C14830"/>
    <w:rsid w:val="00C14B5D"/>
    <w:rsid w:val="00C2074A"/>
    <w:rsid w:val="00C22A1F"/>
    <w:rsid w:val="00C30452"/>
    <w:rsid w:val="00C60BA3"/>
    <w:rsid w:val="00C63F1E"/>
    <w:rsid w:val="00C67FF4"/>
    <w:rsid w:val="00C70BF5"/>
    <w:rsid w:val="00C71CAF"/>
    <w:rsid w:val="00C972A5"/>
    <w:rsid w:val="00CA2A44"/>
    <w:rsid w:val="00CB5636"/>
    <w:rsid w:val="00CE3975"/>
    <w:rsid w:val="00CE5444"/>
    <w:rsid w:val="00CE590D"/>
    <w:rsid w:val="00CE74C5"/>
    <w:rsid w:val="00D014F7"/>
    <w:rsid w:val="00D02157"/>
    <w:rsid w:val="00D067CA"/>
    <w:rsid w:val="00D11479"/>
    <w:rsid w:val="00D23483"/>
    <w:rsid w:val="00D34082"/>
    <w:rsid w:val="00D345DF"/>
    <w:rsid w:val="00D4259D"/>
    <w:rsid w:val="00D53619"/>
    <w:rsid w:val="00D54DB1"/>
    <w:rsid w:val="00D64733"/>
    <w:rsid w:val="00D75ACA"/>
    <w:rsid w:val="00D95599"/>
    <w:rsid w:val="00DC53ED"/>
    <w:rsid w:val="00DE186F"/>
    <w:rsid w:val="00E1573E"/>
    <w:rsid w:val="00E23A7D"/>
    <w:rsid w:val="00E23F26"/>
    <w:rsid w:val="00E2744F"/>
    <w:rsid w:val="00E35677"/>
    <w:rsid w:val="00E3630E"/>
    <w:rsid w:val="00E418E8"/>
    <w:rsid w:val="00E45467"/>
    <w:rsid w:val="00E511EC"/>
    <w:rsid w:val="00E64FC4"/>
    <w:rsid w:val="00E67BF3"/>
    <w:rsid w:val="00E7267B"/>
    <w:rsid w:val="00E738A5"/>
    <w:rsid w:val="00E75014"/>
    <w:rsid w:val="00E7699F"/>
    <w:rsid w:val="00E92DC4"/>
    <w:rsid w:val="00E94D3F"/>
    <w:rsid w:val="00EB2E3E"/>
    <w:rsid w:val="00EB3D0E"/>
    <w:rsid w:val="00EB5B1E"/>
    <w:rsid w:val="00EC33A8"/>
    <w:rsid w:val="00EC7543"/>
    <w:rsid w:val="00ED0778"/>
    <w:rsid w:val="00EF3099"/>
    <w:rsid w:val="00F02D0E"/>
    <w:rsid w:val="00F10E5E"/>
    <w:rsid w:val="00F11CBF"/>
    <w:rsid w:val="00F2101A"/>
    <w:rsid w:val="00F35DDF"/>
    <w:rsid w:val="00F420A0"/>
    <w:rsid w:val="00F466C4"/>
    <w:rsid w:val="00F46BB7"/>
    <w:rsid w:val="00F73229"/>
    <w:rsid w:val="00F745F6"/>
    <w:rsid w:val="00F80086"/>
    <w:rsid w:val="00F81237"/>
    <w:rsid w:val="00FA251F"/>
    <w:rsid w:val="00FA47E1"/>
    <w:rsid w:val="00FD21E7"/>
    <w:rsid w:val="00FD42A3"/>
    <w:rsid w:val="00FD481C"/>
    <w:rsid w:val="00FD4AAB"/>
    <w:rsid w:val="00FD7445"/>
    <w:rsid w:val="00FD7CD5"/>
    <w:rsid w:val="00FF0E71"/>
    <w:rsid w:val="00FF2888"/>
    <w:rsid w:val="00FF381F"/>
    <w:rsid w:val="00FF4480"/>
    <w:rsid w:val="00FF5B67"/>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AAD5C"/>
  <w15:docId w15:val="{D585241F-67E6-4E3E-BD64-3CB70F73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semiHidden/>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72"/>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styleId="Tekstprzypisudolnego">
    <w:name w:val="footnote text"/>
    <w:basedOn w:val="Normalny"/>
    <w:link w:val="TekstprzypisudolnegoZnak"/>
    <w:rsid w:val="00B5430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54306"/>
    <w:rPr>
      <w:rFonts w:ascii="Times New Roman" w:eastAsia="Times New Roman" w:hAnsi="Times New Roman" w:cs="Times New Roman"/>
      <w:sz w:val="20"/>
      <w:szCs w:val="20"/>
      <w:lang w:eastAsia="pl-PL"/>
    </w:rPr>
  </w:style>
  <w:style w:type="character" w:styleId="Odwoanieprzypisudolnego">
    <w:name w:val="footnote reference"/>
    <w:aliases w:val="FZ"/>
    <w:rsid w:val="00B543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0463">
      <w:bodyDiv w:val="1"/>
      <w:marLeft w:val="0"/>
      <w:marRight w:val="0"/>
      <w:marTop w:val="0"/>
      <w:marBottom w:val="0"/>
      <w:divBdr>
        <w:top w:val="none" w:sz="0" w:space="0" w:color="auto"/>
        <w:left w:val="none" w:sz="0" w:space="0" w:color="auto"/>
        <w:bottom w:val="none" w:sz="0" w:space="0" w:color="auto"/>
        <w:right w:val="none" w:sz="0" w:space="0" w:color="auto"/>
      </w:divBdr>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9E344-A28A-4946-AA5C-CEB1547ED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858</Words>
  <Characters>5152</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Kaniuka</dc:creator>
  <cp:lastModifiedBy>Wójcik Leszek  (DPG)</cp:lastModifiedBy>
  <cp:revision>16</cp:revision>
  <cp:lastPrinted>2021-10-11T13:00:00Z</cp:lastPrinted>
  <dcterms:created xsi:type="dcterms:W3CDTF">2022-01-03T14:52:00Z</dcterms:created>
  <dcterms:modified xsi:type="dcterms:W3CDTF">2023-06-29T07:59:00Z</dcterms:modified>
</cp:coreProperties>
</file>